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四、简答题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rFonts w:hint="eastAsia"/>
          <w:szCs w:val="21"/>
        </w:rPr>
        <w:t>依据《内河小型渔船法定检验技术规则（</w:t>
      </w:r>
      <w:r>
        <w:rPr>
          <w:szCs w:val="21"/>
        </w:rPr>
        <w:t>2019</w:t>
      </w:r>
      <w:r>
        <w:rPr>
          <w:rFonts w:hint="eastAsia"/>
          <w:szCs w:val="21"/>
        </w:rPr>
        <w:t>）》，简述</w:t>
      </w:r>
      <w:r>
        <w:rPr>
          <w:rFonts w:hint="eastAsia"/>
          <w:bCs/>
          <w:szCs w:val="21"/>
        </w:rPr>
        <w:t>对</w:t>
      </w:r>
      <w:r>
        <w:rPr>
          <w:rFonts w:hint="eastAsia"/>
          <w:szCs w:val="21"/>
        </w:rPr>
        <w:t>燃油箱柜的结构、布置等有哪些规定要求？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燃油箱柜的结构、布置的具体要求如下：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）燃油箱柜的布置应能避免因船舶碰撞而造成溢油，其处所应能保证有效通风；</w:t>
      </w:r>
    </w:p>
    <w:p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）燃油箱柜安装前应进行液压试验，试验压力应不小于</w:t>
      </w:r>
      <w:r>
        <w:rPr>
          <w:szCs w:val="21"/>
        </w:rPr>
        <w:t>0.02MPa</w:t>
      </w:r>
      <w:r>
        <w:rPr>
          <w:rFonts w:hint="eastAsia"/>
          <w:szCs w:val="21"/>
        </w:rPr>
        <w:t>；</w:t>
      </w:r>
    </w:p>
    <w:p>
      <w:pPr>
        <w:ind w:firstLine="434" w:firstLineChars="207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）燃油箱柜和燃油管法兰接头不应位于发动机排气管的正上方，且其间距应不小于</w:t>
      </w:r>
      <w:r>
        <w:rPr>
          <w:szCs w:val="21"/>
        </w:rPr>
        <w:t>450mm</w:t>
      </w:r>
      <w:r>
        <w:rPr>
          <w:rFonts w:hint="eastAsia"/>
          <w:szCs w:val="21"/>
        </w:rPr>
        <w:t>。燃油箱柜下面应设滴油盘；</w:t>
      </w:r>
    </w:p>
    <w:p>
      <w:pPr>
        <w:ind w:firstLine="43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）燃油箱柜上应装有泄放装置、液位计、空气管。空气管内径应不小于注入管内径。        如采用玻璃管液位计，应为自闭式，且应设有防护罩。液位计禁止使用塑料管。</w:t>
      </w:r>
    </w:p>
    <w:p>
      <w:pPr>
        <w:pStyle w:val="14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szCs w:val="21"/>
        </w:rPr>
      </w:pPr>
      <w:r>
        <w:rPr>
          <w:rFonts w:hint="eastAsia"/>
          <w:szCs w:val="21"/>
        </w:rPr>
        <w:t>依据《内河小型渔船法定检验技术规则（</w:t>
      </w:r>
      <w:r>
        <w:rPr>
          <w:szCs w:val="21"/>
        </w:rPr>
        <w:t>2019</w:t>
      </w:r>
      <w:r>
        <w:rPr>
          <w:rFonts w:hint="eastAsia"/>
          <w:szCs w:val="21"/>
        </w:rPr>
        <w:t>）》，简述</w:t>
      </w:r>
      <w:r>
        <w:rPr>
          <w:rFonts w:hint="eastAsia"/>
          <w:bCs/>
          <w:szCs w:val="21"/>
        </w:rPr>
        <w:t>对发动机排气管路的热绝缘</w:t>
      </w:r>
      <w:r>
        <w:rPr>
          <w:rFonts w:hint="eastAsia"/>
          <w:szCs w:val="21"/>
        </w:rPr>
        <w:t>、布置等有哪些规定要求？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发动机排气管布置的具体要求如下：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）主机排气管路应包扎绝热材料，其表面温度应不超过</w:t>
      </w:r>
      <w:r>
        <w:rPr>
          <w:szCs w:val="21"/>
        </w:rPr>
        <w:t xml:space="preserve"> 60℃</w:t>
      </w:r>
      <w:r>
        <w:rPr>
          <w:rFonts w:hint="eastAsia"/>
          <w:szCs w:val="21"/>
        </w:rPr>
        <w:t>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）排气管一般应向上导出。若需经位于水线以上不足</w:t>
      </w:r>
      <w:r>
        <w:rPr>
          <w:szCs w:val="21"/>
        </w:rPr>
        <w:t xml:space="preserve"> 300mm </w:t>
      </w:r>
      <w:r>
        <w:rPr>
          <w:rFonts w:hint="eastAsia"/>
          <w:szCs w:val="21"/>
        </w:rPr>
        <w:t>处的船侧或船尾导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出时，应设有防止江水倒灌的装置；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）排气管与船体的连接应保证水密；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）风冷柴油机排气管路及冷却风道应在机舱内合理布置；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）主机排气管一般应设置有效的消声器。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3.依据《内河渔船法定检验技术规则（</w:t>
      </w:r>
      <w:r>
        <w:rPr>
          <w:szCs w:val="21"/>
        </w:rPr>
        <w:t>2019</w:t>
      </w:r>
      <w:r>
        <w:rPr>
          <w:rFonts w:hint="eastAsia"/>
          <w:szCs w:val="21"/>
        </w:rPr>
        <w:t>）》，简述</w:t>
      </w:r>
      <w:r>
        <w:rPr>
          <w:rFonts w:hint="eastAsia"/>
          <w:bCs/>
          <w:szCs w:val="21"/>
        </w:rPr>
        <w:t>对内河渔船上塑料管的使用时温度和压力的要求，并回答塑料管不能应用于哪些系统</w:t>
      </w:r>
      <w:r>
        <w:rPr>
          <w:rFonts w:hint="eastAsia"/>
          <w:szCs w:val="21"/>
        </w:rPr>
        <w:t>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所有塑料管均应有适当的自由支撑。在管子的每个区段均应有允许塑料管膨胀或收缩的措施。塑料管一般不得用于工作压力大于</w:t>
      </w:r>
      <w:r>
        <w:rPr>
          <w:szCs w:val="21"/>
        </w:rPr>
        <w:t xml:space="preserve">0.6MPa </w:t>
      </w:r>
      <w:r>
        <w:rPr>
          <w:rFonts w:hint="eastAsia"/>
          <w:szCs w:val="21"/>
        </w:rPr>
        <w:t>以及介质温度高于</w:t>
      </w:r>
      <w:r>
        <w:rPr>
          <w:szCs w:val="21"/>
        </w:rPr>
        <w:t>60℃</w:t>
      </w:r>
      <w:r>
        <w:rPr>
          <w:rFonts w:hint="eastAsia"/>
          <w:szCs w:val="21"/>
        </w:rPr>
        <w:t>或低于</w:t>
      </w:r>
      <w:r>
        <w:rPr>
          <w:szCs w:val="21"/>
        </w:rPr>
        <w:t>0℃</w:t>
      </w:r>
      <w:r>
        <w:rPr>
          <w:rFonts w:hint="eastAsia"/>
          <w:szCs w:val="21"/>
        </w:rPr>
        <w:t>的管系，特别不得用于下列管子</w:t>
      </w:r>
      <w:r>
        <w:rPr>
          <w:szCs w:val="21"/>
        </w:rPr>
        <w:t>:</w:t>
      </w:r>
      <w:bookmarkStart w:id="0" w:name="_GoBack"/>
      <w:bookmarkEnd w:id="0"/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）消防管；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）舱底水管；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）动力管系以及输送油类或其他易燃液体的管子；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）当管子泄漏或损坏后能使船舶增加浸水危险的管子。</w:t>
      </w:r>
    </w:p>
    <w:p>
      <w:pPr>
        <w:rPr>
          <w:szCs w:val="21"/>
        </w:rPr>
      </w:pPr>
      <w:r>
        <w:rPr>
          <w:rFonts w:hint="eastAsia"/>
          <w:szCs w:val="21"/>
          <w:lang w:val="en-US" w:eastAsia="zh-CN"/>
        </w:rPr>
        <w:t>4.</w:t>
      </w:r>
      <w:r>
        <w:rPr>
          <w:rFonts w:hint="eastAsia"/>
          <w:szCs w:val="21"/>
        </w:rPr>
        <w:t>依据《内河渔船法定检验技术规则（2019）》，一艘船长2</w:t>
      </w:r>
      <w:r>
        <w:rPr>
          <w:szCs w:val="21"/>
        </w:rPr>
        <w:t>5</w:t>
      </w:r>
      <w:r>
        <w:rPr>
          <w:rFonts w:hint="eastAsia"/>
          <w:szCs w:val="21"/>
          <w:lang w:val="en-US" w:eastAsia="zh-CN"/>
        </w:rPr>
        <w:t>.00</w:t>
      </w:r>
      <w:r>
        <w:rPr>
          <w:rFonts w:hint="eastAsia"/>
          <w:szCs w:val="21"/>
        </w:rPr>
        <w:t>m主机功率</w:t>
      </w:r>
      <w:r>
        <w:rPr>
          <w:szCs w:val="21"/>
        </w:rPr>
        <w:t>9</w:t>
      </w:r>
      <w:r>
        <w:rPr>
          <w:rFonts w:hint="eastAsia"/>
          <w:szCs w:val="21"/>
        </w:rPr>
        <w:t>0kW的刺网渔船，请简述该渔船“水灭火系统”配备的具体要求。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（1）船长不小于 24 m 或主机功率大于等于 147 kW 时，应配备一套水灭火系统；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（2）一台机动消防泵，其排量不小于15 m³/h，且在消火栓处能维持射程不小于12m 的水柱；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（3）一只消火栓，一根10m 长消防水带及一只13mm 口径的水枪。</w:t>
      </w:r>
    </w:p>
    <w:p>
      <w:pPr>
        <w:ind w:firstLine="420" w:firstLineChars="200"/>
        <w:rPr>
          <w:rFonts w:hint="eastAsia"/>
          <w:szCs w:val="21"/>
        </w:rPr>
      </w:pPr>
    </w:p>
    <w:p>
      <w:pPr>
        <w:ind w:firstLine="420" w:firstLineChars="200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A738E"/>
    <w:multiLevelType w:val="multilevel"/>
    <w:tmpl w:val="1F0A738E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（%2）"/>
      <w:lvlJc w:val="left"/>
      <w:pPr>
        <w:ind w:left="1140" w:hanging="720"/>
      </w:pPr>
      <w:rPr>
        <w:lang w:val="en-U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JjMTQ0ZTExYzk0ZmQwNmE3NTAyOTRmMzJlM2M3OWYifQ=="/>
  </w:docVars>
  <w:rsids>
    <w:rsidRoot w:val="009E1028"/>
    <w:rsid w:val="00036D17"/>
    <w:rsid w:val="00045CE8"/>
    <w:rsid w:val="00052390"/>
    <w:rsid w:val="0008016D"/>
    <w:rsid w:val="000A0D18"/>
    <w:rsid w:val="000B7380"/>
    <w:rsid w:val="000D3EE2"/>
    <w:rsid w:val="000D4CAA"/>
    <w:rsid w:val="000E27D4"/>
    <w:rsid w:val="00156F70"/>
    <w:rsid w:val="00190AE5"/>
    <w:rsid w:val="001956BD"/>
    <w:rsid w:val="001C46B4"/>
    <w:rsid w:val="00204BAA"/>
    <w:rsid w:val="00227A56"/>
    <w:rsid w:val="002954A1"/>
    <w:rsid w:val="002A3263"/>
    <w:rsid w:val="002A4A3B"/>
    <w:rsid w:val="002A627F"/>
    <w:rsid w:val="002B0F5D"/>
    <w:rsid w:val="002B647A"/>
    <w:rsid w:val="00303931"/>
    <w:rsid w:val="0040781A"/>
    <w:rsid w:val="00412577"/>
    <w:rsid w:val="00415F94"/>
    <w:rsid w:val="0046534E"/>
    <w:rsid w:val="00480DB8"/>
    <w:rsid w:val="00494510"/>
    <w:rsid w:val="004B5DF2"/>
    <w:rsid w:val="004E37D8"/>
    <w:rsid w:val="004F4A66"/>
    <w:rsid w:val="005176A1"/>
    <w:rsid w:val="005543EF"/>
    <w:rsid w:val="005B003C"/>
    <w:rsid w:val="005D66B6"/>
    <w:rsid w:val="00643E68"/>
    <w:rsid w:val="006445E7"/>
    <w:rsid w:val="006668D3"/>
    <w:rsid w:val="00677B1B"/>
    <w:rsid w:val="006E7D50"/>
    <w:rsid w:val="006F0AE9"/>
    <w:rsid w:val="00740480"/>
    <w:rsid w:val="00765E86"/>
    <w:rsid w:val="00766AD5"/>
    <w:rsid w:val="007761EC"/>
    <w:rsid w:val="007B21AE"/>
    <w:rsid w:val="007C19A0"/>
    <w:rsid w:val="00800482"/>
    <w:rsid w:val="00850651"/>
    <w:rsid w:val="00857062"/>
    <w:rsid w:val="00911F06"/>
    <w:rsid w:val="0091391E"/>
    <w:rsid w:val="0091796C"/>
    <w:rsid w:val="009375CB"/>
    <w:rsid w:val="009421F0"/>
    <w:rsid w:val="0094421C"/>
    <w:rsid w:val="0096310D"/>
    <w:rsid w:val="00985812"/>
    <w:rsid w:val="009C6D4A"/>
    <w:rsid w:val="009D2805"/>
    <w:rsid w:val="009D6CBA"/>
    <w:rsid w:val="009E1028"/>
    <w:rsid w:val="00A20551"/>
    <w:rsid w:val="00A540BF"/>
    <w:rsid w:val="00A75C81"/>
    <w:rsid w:val="00A94790"/>
    <w:rsid w:val="00AA2779"/>
    <w:rsid w:val="00AC7817"/>
    <w:rsid w:val="00B4053F"/>
    <w:rsid w:val="00B4530A"/>
    <w:rsid w:val="00B5500B"/>
    <w:rsid w:val="00B84CAC"/>
    <w:rsid w:val="00BA27AC"/>
    <w:rsid w:val="00BE0983"/>
    <w:rsid w:val="00C15A9B"/>
    <w:rsid w:val="00C32FA7"/>
    <w:rsid w:val="00C447AA"/>
    <w:rsid w:val="00C50C53"/>
    <w:rsid w:val="00C6186E"/>
    <w:rsid w:val="00C84AFA"/>
    <w:rsid w:val="00CB56C8"/>
    <w:rsid w:val="00CF7958"/>
    <w:rsid w:val="00D219B7"/>
    <w:rsid w:val="00D5583F"/>
    <w:rsid w:val="00D616B9"/>
    <w:rsid w:val="00D6570B"/>
    <w:rsid w:val="00D90839"/>
    <w:rsid w:val="00DA3C20"/>
    <w:rsid w:val="00DA7E78"/>
    <w:rsid w:val="00DB18B5"/>
    <w:rsid w:val="00DB5D43"/>
    <w:rsid w:val="00DD011C"/>
    <w:rsid w:val="00DE5020"/>
    <w:rsid w:val="00DF3297"/>
    <w:rsid w:val="00E6146A"/>
    <w:rsid w:val="00E65755"/>
    <w:rsid w:val="00EB2B93"/>
    <w:rsid w:val="00EB5409"/>
    <w:rsid w:val="00F31726"/>
    <w:rsid w:val="00F540DD"/>
    <w:rsid w:val="00FE13C1"/>
    <w:rsid w:val="00FF05B2"/>
    <w:rsid w:val="013107DA"/>
    <w:rsid w:val="08252D74"/>
    <w:rsid w:val="3BB83BC7"/>
    <w:rsid w:val="7A0967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Plain Text"/>
    <w:basedOn w:val="1"/>
    <w:link w:val="16"/>
    <w:semiHidden/>
    <w:unhideWhenUsed/>
    <w:uiPriority w:val="0"/>
    <w:rPr>
      <w:rFonts w:ascii="宋体" w:hAnsi="Courier New" w:eastAsiaTheme="minorEastAsia" w:cstheme="minorBidi"/>
      <w:szCs w:val="22"/>
    </w:r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character" w:styleId="10">
    <w:name w:val="Hyperlink"/>
    <w:qFormat/>
    <w:uiPriority w:val="0"/>
    <w:rPr>
      <w:color w:val="0000FF"/>
      <w:szCs w:val="20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6"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纯文本 Char"/>
    <w:basedOn w:val="9"/>
    <w:link w:val="3"/>
    <w:semiHidden/>
    <w:uiPriority w:val="0"/>
    <w:rPr>
      <w:rFonts w:ascii="宋体" w:hAnsi="Courier New"/>
    </w:rPr>
  </w:style>
  <w:style w:type="character" w:customStyle="1" w:styleId="17">
    <w:name w:val="纯文本 字符1"/>
    <w:basedOn w:val="9"/>
    <w:semiHidden/>
    <w:qFormat/>
    <w:uiPriority w:val="99"/>
    <w:rPr>
      <w:rFonts w:hint="eastAsia" w:hAnsi="Courier New" w:eastAsia="等线" w:cs="Courier New" w:asciiTheme="minorEastAsia"/>
      <w:szCs w:val="24"/>
    </w:rPr>
  </w:style>
  <w:style w:type="character" w:customStyle="1" w:styleId="18">
    <w:name w:val="批注文字 Char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Char"/>
    <w:basedOn w:val="9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846</Words>
  <Characters>907</Characters>
  <Lines>5</Lines>
  <Paragraphs>1</Paragraphs>
  <TotalTime>2</TotalTime>
  <ScaleCrop>false</ScaleCrop>
  <LinksUpToDate>false</LinksUpToDate>
  <CharactersWithSpaces>929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2023-08-18T01:25:00Z</dcterms:created>
  <dc:creator>姚静</dc:creator>
  <cp:lastModifiedBy>jsyj-ysc2</cp:lastModifiedBy>
  <dcterms:modified xsi:type="dcterms:W3CDTF">2023-09-05T00:44:41Z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4F322B08FDE5428F9B330EC9AC37648A_12</vt:lpwstr>
  </property>
</Properties>
</file>